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53" w:rsidRDefault="007A4953">
      <w:pPr>
        <w:pStyle w:val="ConsPlusTitle"/>
        <w:jc w:val="center"/>
      </w:pPr>
      <w:bookmarkStart w:id="0" w:name="_GoBack"/>
      <w:bookmarkEnd w:id="0"/>
      <w:r>
        <w:t>МИНИСТЕРСТВО ЭКОНОМИЧЕСКОГО РАЗВИТИЯ РОССИЙСКОЙ ФЕДЕРАЦИИ</w:t>
      </w:r>
    </w:p>
    <w:p w:rsidR="007A4953" w:rsidRDefault="007A4953">
      <w:pPr>
        <w:pStyle w:val="ConsPlusTitle"/>
        <w:jc w:val="both"/>
      </w:pPr>
    </w:p>
    <w:p w:rsidR="007A4953" w:rsidRDefault="007A4953">
      <w:pPr>
        <w:pStyle w:val="ConsPlusTitle"/>
        <w:jc w:val="center"/>
      </w:pPr>
      <w:r>
        <w:t>ФЕДЕРАЛЬНАЯ СЛУЖБА ГОСУДАРСТВЕННОЙ РЕГИСТРАЦИИ,</w:t>
      </w:r>
    </w:p>
    <w:p w:rsidR="007A4953" w:rsidRDefault="007A4953">
      <w:pPr>
        <w:pStyle w:val="ConsPlusTitle"/>
        <w:jc w:val="center"/>
      </w:pPr>
      <w:r>
        <w:t>КАДАСТРА И КАРТОГРАФИИ</w:t>
      </w:r>
    </w:p>
    <w:p w:rsidR="007A4953" w:rsidRDefault="007A4953">
      <w:pPr>
        <w:pStyle w:val="ConsPlusTitle"/>
        <w:jc w:val="both"/>
      </w:pPr>
    </w:p>
    <w:p w:rsidR="007A4953" w:rsidRDefault="007A4953">
      <w:pPr>
        <w:pStyle w:val="ConsPlusTitle"/>
        <w:jc w:val="center"/>
      </w:pPr>
      <w:r>
        <w:t>ПИСЬМО</w:t>
      </w:r>
    </w:p>
    <w:p w:rsidR="007A4953" w:rsidRDefault="007A4953">
      <w:pPr>
        <w:pStyle w:val="ConsPlusTitle"/>
        <w:jc w:val="center"/>
      </w:pPr>
      <w:r>
        <w:t>от 26 мая 2017 г. N 19-06608-см/17</w:t>
      </w:r>
    </w:p>
    <w:p w:rsidR="007A4953" w:rsidRDefault="007A4953">
      <w:pPr>
        <w:pStyle w:val="ConsPlusNormal"/>
        <w:jc w:val="both"/>
      </w:pPr>
    </w:p>
    <w:p w:rsidR="007A4953" w:rsidRDefault="007A4953">
      <w:pPr>
        <w:pStyle w:val="ConsPlusNormal"/>
        <w:ind w:firstLine="540"/>
        <w:jc w:val="both"/>
      </w:pPr>
      <w:r>
        <w:t>Федеральная служба государственной регистрации, кадастра и картографии в соответствии с протоколом совещания направляет разъяснения по вопросам, указанным в повестке дня к данному совещанию.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t>По пункту 2.1 повестки.</w:t>
      </w:r>
    </w:p>
    <w:p w:rsidR="007A4953" w:rsidRDefault="007A4953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5" w:history="1">
        <w:r>
          <w:rPr>
            <w:color w:val="0000FF"/>
          </w:rPr>
          <w:t>части 3 статьи 42.6</w:t>
        </w:r>
      </w:hyperlink>
      <w:r>
        <w:t xml:space="preserve"> Федерального закона от 24.07.2007 N 221-ФЗ "О кадастровой деятельности" (далее - Закон о кадастровой деятельности) одним из необходимых условий для начала выполнения комплексных кадастровых работ является наличие утвержденного в установленном законодательством о градостроительной деятельности порядке проекта межевания территории соответствующего элемента или соответствующих элементов планировочной структуры, либо проекта межевания земельного участка или земельных участков, утвержденного в порядке</w:t>
      </w:r>
      <w:proofErr w:type="gramEnd"/>
      <w:r>
        <w:t xml:space="preserve">, </w:t>
      </w:r>
      <w:proofErr w:type="gramStart"/>
      <w:r>
        <w:t xml:space="preserve">установленном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24.07.2002 N 101-ФЗ "Об обороте земель сельскохозяйственного назначения", либо проектной документации о местоположении, границах, площади и об иных количественных и качественных характеристиках лесных участков.</w:t>
      </w:r>
      <w:proofErr w:type="gramEnd"/>
    </w:p>
    <w:p w:rsidR="007A4953" w:rsidRDefault="007A495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r:id="rId7" w:history="1">
        <w:r>
          <w:rPr>
            <w:color w:val="0000FF"/>
          </w:rPr>
          <w:t>части 3 статьи 42.6</w:t>
        </w:r>
      </w:hyperlink>
      <w:r>
        <w:t xml:space="preserve"> Закона о кадастровой деятельности, являются базовыми для выполнения комплексных кадастровых работ в отношении образуемых земельных участков в пределах кадастрового квартала, и выполнение комплексных кадастровых работ в их отсутствие не представляется возможным.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t xml:space="preserve">При этом в соответствии с </w:t>
      </w:r>
      <w:hyperlink r:id="rId8" w:history="1">
        <w:r>
          <w:rPr>
            <w:color w:val="0000FF"/>
          </w:rPr>
          <w:t>пунктом 2 статьи 43</w:t>
        </w:r>
      </w:hyperlink>
      <w:r>
        <w:t xml:space="preserve"> Градостроительного кодекса Российской Федерации проект межевания территории разрабатывается в целях определения местоположения границ образуемых и изменяемых земельных участков.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t xml:space="preserve">Кроме того, в соответствии с положениями </w:t>
      </w:r>
      <w:hyperlink r:id="rId9" w:history="1">
        <w:r>
          <w:rPr>
            <w:color w:val="0000FF"/>
          </w:rPr>
          <w:t>Закона</w:t>
        </w:r>
      </w:hyperlink>
      <w:r>
        <w:t xml:space="preserve"> о кадастровой деятельности комплексные кадастровые работы направлены в том числе, на уточнение сведений о местоположении и площади земельных участков, сведения о которых содержатся в Едином государственном реестре недвижимости (далее - ЕГРН), а также исправление реестровых ошибок.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части 1 статьи 42.8</w:t>
        </w:r>
      </w:hyperlink>
      <w:r>
        <w:t xml:space="preserve"> Закона о кадастровой деятельности при выполнении комплексных кадастровых работ по уточнению местоположения границ земельных участков оно определяется исходя из сведений, содержащихся в документах, предусмотренных </w:t>
      </w:r>
      <w:hyperlink r:id="rId11" w:history="1">
        <w:r>
          <w:rPr>
            <w:color w:val="0000FF"/>
          </w:rPr>
          <w:t>частью 10 статьи 22</w:t>
        </w:r>
      </w:hyperlink>
      <w:r>
        <w:t xml:space="preserve"> Федерального закона от 13.07.2015 N 218-ФЗ "О государственной регистрации недвижимости" (далее - Закон о регистрации). </w:t>
      </w:r>
      <w:proofErr w:type="gramStart"/>
      <w:r>
        <w:t xml:space="preserve">В случае отсутствия в указанных в </w:t>
      </w:r>
      <w:hyperlink r:id="rId12" w:history="1">
        <w:r>
          <w:rPr>
            <w:color w:val="0000FF"/>
          </w:rPr>
          <w:t>части 10 статьи 22</w:t>
        </w:r>
      </w:hyperlink>
      <w:r>
        <w:t xml:space="preserve"> Закона о регистрации недвижимости документах сведений о местоположении границ земельных участков оно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территории.</w:t>
      </w:r>
      <w:proofErr w:type="gramEnd"/>
    </w:p>
    <w:p w:rsidR="007A4953" w:rsidRDefault="007A4953">
      <w:pPr>
        <w:pStyle w:val="ConsPlusNormal"/>
        <w:spacing w:before="220"/>
        <w:ind w:firstLine="540"/>
        <w:jc w:val="both"/>
      </w:pPr>
      <w:r>
        <w:t xml:space="preserve">Таким образом, положения </w:t>
      </w:r>
      <w:hyperlink r:id="rId13" w:history="1">
        <w:r>
          <w:rPr>
            <w:color w:val="0000FF"/>
          </w:rPr>
          <w:t>части 1 статьи 42.8</w:t>
        </w:r>
      </w:hyperlink>
      <w:r>
        <w:t xml:space="preserve"> Закона о кадастровой деятельности противоречат положениям </w:t>
      </w:r>
      <w:hyperlink r:id="rId14" w:history="1">
        <w:r>
          <w:rPr>
            <w:color w:val="0000FF"/>
          </w:rPr>
          <w:t>пункта 2 статьи 43</w:t>
        </w:r>
      </w:hyperlink>
      <w:r>
        <w:t xml:space="preserve"> Градостроительного кодекса Российской Федерации.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t xml:space="preserve">Вместе с тем, по мнению </w:t>
      </w:r>
      <w:proofErr w:type="spellStart"/>
      <w:r>
        <w:t>Росреестра</w:t>
      </w:r>
      <w:proofErr w:type="spellEnd"/>
      <w:r>
        <w:t>, при уточнении местоположения границ земельных участков и исправлении реестровых ошибок в сведениях о местоположении границ объектов недвижимости необходимость подготовки проектов межевания территории отсутствует.</w:t>
      </w:r>
    </w:p>
    <w:p w:rsidR="007A4953" w:rsidRDefault="007A495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Дополнительно сообщаем, что в настоящее время разработан </w:t>
      </w:r>
      <w:hyperlink r:id="rId15" w:history="1">
        <w:r>
          <w:rPr>
            <w:color w:val="0000FF"/>
          </w:rPr>
          <w:t>проект</w:t>
        </w:r>
      </w:hyperlink>
      <w:r>
        <w:t xml:space="preserve"> федерального закона "О внесении изменений в Федеральный закон "О кадастровой деятельности" и Федеральный закон "О государственной регистрации недвижимости" в части уточнения перечня документов, необходимых для проведения комплексных кадастровых работ, в том числе в части обязательного применения проекта межевания территории при образовании земельных участков.</w:t>
      </w:r>
      <w:proofErr w:type="gramEnd"/>
    </w:p>
    <w:p w:rsidR="007A4953" w:rsidRDefault="007A4953">
      <w:pPr>
        <w:pStyle w:val="ConsPlusNormal"/>
        <w:spacing w:before="220"/>
        <w:ind w:firstLine="540"/>
        <w:jc w:val="both"/>
      </w:pPr>
      <w:r>
        <w:t>По пункту 2.2 повестки.</w:t>
      </w:r>
    </w:p>
    <w:p w:rsidR="007A4953" w:rsidRDefault="007A495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Законом</w:t>
        </w:r>
      </w:hyperlink>
      <w:r>
        <w:t xml:space="preserve"> о кадастровой деятельности не запрещено выполнение комплексных кадастровых работ в отношении всего кадастрового квартала, если проект межевания территории утвержден только в отношении элемента планировочной структуры. При этом полагаем необходимым отметить, что определение местоположения границ образуемых и изменяемых земельных участков возможно только в рамках данного элемента планировочной структуры, тогда как уточнение местоположения границ земельных участков и исправление реестровых ошибок в сведениях о местоположении границ объектов недвижимости возможно в отношении всего кадастрового квартала.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t>По пункту 2.3 повестки.</w:t>
      </w:r>
    </w:p>
    <w:p w:rsidR="007A4953" w:rsidRDefault="007A49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Росреестр</w:t>
      </w:r>
      <w:proofErr w:type="spellEnd"/>
      <w:r>
        <w:t xml:space="preserve"> как главный распорядитель средств федерального бюджета в отношении комплексных кадастровых работ рекомендует для обеспечения загрузки в ЕГРН результатов, полученных в ходе выполнения комплексных кадастровых работ, производить загрузку в ЕГРН результатов комплексных кадастровых работ сразу же после завершения таких работ в кадастровом квартале, а также обратить внимание на целесообразность проведения оплаты по контрактам после завершения загрузки сведений в ЕГРН с</w:t>
      </w:r>
      <w:proofErr w:type="gramEnd"/>
      <w:r>
        <w:t xml:space="preserve"> учетом полученных результатов и включения соответствующих условий в технические задания и заключаемые контракты на проведение работ.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t xml:space="preserve">Порядок согласования местоположения границ земельных участков при выполнении комплексных кадастровых работ предусмотрен </w:t>
      </w:r>
      <w:hyperlink r:id="rId17" w:history="1">
        <w:r>
          <w:rPr>
            <w:color w:val="0000FF"/>
          </w:rPr>
          <w:t>статьей 42.10</w:t>
        </w:r>
      </w:hyperlink>
      <w:r>
        <w:t xml:space="preserve"> Закона о кадастровой деятельности.</w:t>
      </w:r>
    </w:p>
    <w:p w:rsidR="007A4953" w:rsidRDefault="007A4953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8" w:history="1">
        <w:r>
          <w:rPr>
            <w:color w:val="0000FF"/>
          </w:rPr>
          <w:t>частью 20 статьи 42.10</w:t>
        </w:r>
      </w:hyperlink>
      <w:r>
        <w:t xml:space="preserve"> Закона о кадастровой деятельности земельные споры о местоположении границ земельных участков, не урегулированные в результате предусмотренного настоящей </w:t>
      </w:r>
      <w:hyperlink r:id="rId19" w:history="1">
        <w:r>
          <w:rPr>
            <w:color w:val="0000FF"/>
          </w:rPr>
          <w:t>статьей 42.1</w:t>
        </w:r>
      </w:hyperlink>
      <w:r>
        <w:t xml:space="preserve"> Закона о кадастровой деятельности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  <w:proofErr w:type="gramEnd"/>
    </w:p>
    <w:p w:rsidR="007A4953" w:rsidRDefault="007A4953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по мнению </w:t>
      </w:r>
      <w:proofErr w:type="spellStart"/>
      <w:r>
        <w:t>Росреестра</w:t>
      </w:r>
      <w:proofErr w:type="spellEnd"/>
      <w:r>
        <w:t>, при возникновении судебных разбирательств, связанных с невозможностью оформления акта согласования местоположения границ земельного участка без судебного решения, при условии добросовестного выполнения подрядчиком комплексных кадастровых работ, не должны влиять на приемку выполненных работ и ее оплату.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t>По пункту 2.4 повестки.</w:t>
      </w:r>
    </w:p>
    <w:p w:rsidR="007A4953" w:rsidRDefault="007A4953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Форма</w:t>
        </w:r>
      </w:hyperlink>
      <w:r>
        <w:t xml:space="preserve"> извещения о начале выполнения комплексных кадастровых работ, в том числе для размещения в печатном средстве массовой информации и сетевом издании, на официальном сайте в информационно-телекоммуникационной сети "Интернет" и для направления почтовым отправлением либо по адресу электронной почты, утверждена приказом Минэкономразвития России от 23.04.2015 N 254.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t xml:space="preserve">Данные требования являются </w:t>
      </w:r>
      <w:proofErr w:type="gramStart"/>
      <w:r>
        <w:t>обязательными к исполнению</w:t>
      </w:r>
      <w:proofErr w:type="gramEnd"/>
      <w:r>
        <w:t>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t>Вместе с тем извещение о начале выполнения комплексных кадастровых работ другими способами не запрещено действующим законодательством.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lastRenderedPageBreak/>
        <w:t xml:space="preserve">Порядок извещения о начале выполнения комплексных кадастровых работ установлен </w:t>
      </w:r>
      <w:hyperlink r:id="rId21" w:history="1">
        <w:r>
          <w:rPr>
            <w:color w:val="0000FF"/>
          </w:rPr>
          <w:t>статьей 42.7</w:t>
        </w:r>
      </w:hyperlink>
      <w:r>
        <w:t xml:space="preserve"> Закона о кадастровой деятельности.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t>При этом заказчик комплексных кадастровых работ обеспечивает информирование граждан и юридических лиц о начале выполнения комплексных кадастровых работ в течение десяти рабочих дней со дня заключения контракта на выполнение комплексных кадастровых работ.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t>По пункту 2.5 повестки.</w:t>
      </w:r>
    </w:p>
    <w:p w:rsidR="007A4953" w:rsidRDefault="007A4953">
      <w:pPr>
        <w:pStyle w:val="ConsPlusNormal"/>
        <w:spacing w:before="220"/>
        <w:ind w:firstLine="540"/>
        <w:jc w:val="both"/>
      </w:pPr>
      <w:proofErr w:type="gramStart"/>
      <w:r>
        <w:t xml:space="preserve">Наличие гарантийного письма субъекта Российской Федерации о выполнении перед проведением комплексных кадастровых работ мероприятий, позволяющих внести в ЕГРН сведения обо всех объектах недвижимости, расположенных на территориях кадастровых кварталов, включенных в перечень кадастровых кварталов, в том числе в форме полевых обследований, инвентаризации земель кадастрового квартала, предусмотрено </w:t>
      </w:r>
      <w:hyperlink r:id="rId22" w:history="1">
        <w:r>
          <w:rPr>
            <w:color w:val="0000FF"/>
          </w:rPr>
          <w:t>подпунктом ж) пункта 4</w:t>
        </w:r>
      </w:hyperlink>
      <w:r>
        <w:t xml:space="preserve"> Правил определения общего объема средств федерального бюджета, ежегодно предусматриваемых на финансовое</w:t>
      </w:r>
      <w:proofErr w:type="gramEnd"/>
      <w:r>
        <w:t xml:space="preserve"> обеспечение проведения комплексных кадастровых работ, предоставления и распределения между бюджетами субъектов Российской Федерации субсидий из федерального бюджета на указанные цели, утвержденных постановлением Правительства Российской Федерации от 10.10.2013 N 903.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t>При этом действующим законодательством не установлен перечень документов и материалов, подтверждающих выполнение данного требования.</w:t>
      </w:r>
    </w:p>
    <w:p w:rsidR="007A4953" w:rsidRDefault="007A4953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тем, по мнению </w:t>
      </w:r>
      <w:proofErr w:type="spellStart"/>
      <w:r>
        <w:t>Росреестра</w:t>
      </w:r>
      <w:proofErr w:type="spellEnd"/>
      <w:r>
        <w:t>, технология проведения инвентаризации земель должна предусматривать обязательное использование сведений об объектах недвижимости, внесенных в ЕГРН, содержащихся в архивах, сформированных по результатам регистрации земельных участков, и сведений землеустроительных организаций и организаций, осуществлявших техническую инвентаризацию и технический учет объектов недвижимости, документов, хранящихся в органах местного самоуправления и у правообладателей объектов недвижимости.</w:t>
      </w:r>
      <w:proofErr w:type="gramEnd"/>
    </w:p>
    <w:p w:rsidR="007A4953" w:rsidRDefault="007A4953">
      <w:pPr>
        <w:pStyle w:val="ConsPlusNormal"/>
        <w:spacing w:before="220"/>
        <w:ind w:firstLine="540"/>
        <w:jc w:val="both"/>
      </w:pPr>
      <w:r>
        <w:t xml:space="preserve">Таким образом, при использовании вышеуказанных сведений при проведении инвентаризации земель, данную </w:t>
      </w:r>
      <w:proofErr w:type="gramStart"/>
      <w:r>
        <w:t>информацию</w:t>
      </w:r>
      <w:proofErr w:type="gramEnd"/>
      <w:r>
        <w:t xml:space="preserve"> возможно указать в текстовой части карты-плана территории, подготовленного по результатам комплексных кадастровых работ.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t>По пункту 2.6 повестки.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частью 4 статьи 42.6</w:t>
        </w:r>
      </w:hyperlink>
      <w:r>
        <w:t xml:space="preserve"> Закона о кадастровой </w:t>
      </w:r>
      <w:proofErr w:type="gramStart"/>
      <w:r>
        <w:t>деятельности</w:t>
      </w:r>
      <w:proofErr w:type="gramEnd"/>
      <w:r>
        <w:t xml:space="preserve"> имеющиеся в распоряжении заказчика комплексных кадастровых работ материалы и необходимые для выполнения комплексных кадастровых работ сведения, в том числе сведения Единого государственного реестра недвижимости (в электронном виде), государственного адресного реестра (в электронном виде), сведения информационной системы обеспечения градостроительной деятельности и других систем и (или) архивов органов местного самоуправления, предоставляются индивидуальному предпринимателю, указанному в </w:t>
      </w:r>
      <w:hyperlink r:id="rId24" w:history="1">
        <w:r>
          <w:rPr>
            <w:color w:val="0000FF"/>
          </w:rPr>
          <w:t>статье 32</w:t>
        </w:r>
      </w:hyperlink>
      <w:r>
        <w:t xml:space="preserve"> Закона о кадастровой деятельности, или юридическому лицу, указанному в </w:t>
      </w:r>
      <w:hyperlink r:id="rId25" w:history="1">
        <w:r>
          <w:rPr>
            <w:color w:val="0000FF"/>
          </w:rPr>
          <w:t>статье 33</w:t>
        </w:r>
      </w:hyperlink>
      <w:r>
        <w:t xml:space="preserve"> Закона о кадастровой деятельности после заключения государственного или муниципального контракта на выполнение комплексных кадастровых работ.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t>При этом действующим законодательством не запрещена передача полномочий исполнителю работ на получение указанных документов.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t xml:space="preserve">Вместе с тем, по мнению </w:t>
      </w:r>
      <w:proofErr w:type="spellStart"/>
      <w:r>
        <w:t>Росреестра</w:t>
      </w:r>
      <w:proofErr w:type="spellEnd"/>
      <w:r>
        <w:t>, передача указанных полномочий должна быть закреплена нотариально удостоверенной доверенностью, либо предусмотрена условиями государственного или муниципального контракта на выполнение комплексных кадастровых работ, заключенного заказчиком комплексных кадастровых работ с кадастровым инженером.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lastRenderedPageBreak/>
        <w:t>По пункту 2.7 повестки.</w:t>
      </w:r>
    </w:p>
    <w:p w:rsidR="007A4953" w:rsidRDefault="007A4953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26" w:history="1">
        <w:r>
          <w:rPr>
            <w:color w:val="0000FF"/>
          </w:rPr>
          <w:t>статье 42.4</w:t>
        </w:r>
      </w:hyperlink>
      <w:r>
        <w:t xml:space="preserve"> Закона о кадастровой деятельности результатом комплексных кадастровых является подготовка карты-плана территории, содержащей необходимые для внесения в Единый государственный реестр недвижимости сведения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работ.</w:t>
      </w:r>
      <w:proofErr w:type="gramEnd"/>
    </w:p>
    <w:p w:rsidR="007A4953" w:rsidRDefault="007A4953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7" w:history="1">
        <w:r>
          <w:rPr>
            <w:color w:val="0000FF"/>
          </w:rPr>
          <w:t>пунктом 1 части 2 статьи 24.1</w:t>
        </w:r>
      </w:hyperlink>
      <w:r>
        <w:t xml:space="preserve"> Закона о регистрации недвижимости в состав текстовой части карты-плана территории включается, в том числе пояснительная записка с указанием оснований выполнения комплексных кадастровых работ, сведений о территории выполнения комплексных кадастровых работ, об учетных номерах кадастровых кварталов, являющихся территорией, на которой выполняются комплексные кадастровые работы, включая реквизиты полученных для выполнения комплексных кадастровых работ</w:t>
      </w:r>
      <w:proofErr w:type="gramEnd"/>
      <w:r>
        <w:t xml:space="preserve"> кадастровых планов территории указанных кадастровых кварталов, реквизиты решения об утверждении проекта межевания территории (в том числе в составе проекта планировки территории), реквизиты документа, устанавливающего распределение земельных участков в садоводческом, огородническом или дачном некоммерческом объединении граждан, и иных сведений о территории, на которой выполняются комплексные кадастровые работы.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8" w:history="1">
        <w:r>
          <w:rPr>
            <w:color w:val="0000FF"/>
          </w:rPr>
          <w:t>части 4 статьи 62</w:t>
        </w:r>
      </w:hyperlink>
      <w:r>
        <w:t xml:space="preserve"> Закона о регистрации на основании одного запроса о предоставлении сведений предоставляется один документ, в виде которого предоставляются сведения, содержащиеся в ЕГРН.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t>Вместе с тем, органам регистрации прав субъектов Российской Федерации будут даны соответствующие рекомендации о необходимости соблюдения сроков предоставления указанных документов по запросам исполнителей комплексных кадастровых работ.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t>По пункту 2.8 повестки.</w:t>
      </w:r>
    </w:p>
    <w:p w:rsidR="007A4953" w:rsidRDefault="007A4953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Пунктом 6 части 2 статьи 42.10</w:t>
        </w:r>
      </w:hyperlink>
      <w:r>
        <w:t xml:space="preserve"> Закона о кадастровой деятельности установлено, что в состав согласительной комиссии включаются по одному представителю от саморегулируемой организации, членом которой является кадастровый инженер (в случае, если он является членом саморегулируемой организации).</w:t>
      </w:r>
    </w:p>
    <w:p w:rsidR="007A4953" w:rsidRDefault="007A4953">
      <w:pPr>
        <w:pStyle w:val="ConsPlusNormal"/>
        <w:spacing w:before="220"/>
        <w:ind w:firstLine="540"/>
        <w:jc w:val="both"/>
      </w:pPr>
      <w:r>
        <w:t>Таким образом, если кадастровые инженеры - исполнители комплексных кадастровых работ являются членами разных саморегулируемых организаций, то в состав согласительной комиссии включаются по одному представителю от каждой саморегулируемой организации.</w:t>
      </w:r>
    </w:p>
    <w:p w:rsidR="007A4953" w:rsidRDefault="007A4953">
      <w:pPr>
        <w:pStyle w:val="ConsPlusNormal"/>
        <w:jc w:val="both"/>
      </w:pPr>
    </w:p>
    <w:p w:rsidR="007A4953" w:rsidRDefault="007A4953">
      <w:pPr>
        <w:pStyle w:val="ConsPlusNormal"/>
        <w:jc w:val="right"/>
      </w:pPr>
      <w:r>
        <w:t>С.Г.МИРОШНИЧЕНКО</w:t>
      </w:r>
    </w:p>
    <w:p w:rsidR="007A4953" w:rsidRDefault="007A4953">
      <w:pPr>
        <w:pStyle w:val="ConsPlusNormal"/>
        <w:jc w:val="both"/>
      </w:pPr>
    </w:p>
    <w:p w:rsidR="007A4953" w:rsidRDefault="007A4953">
      <w:pPr>
        <w:pStyle w:val="ConsPlusNormal"/>
        <w:jc w:val="both"/>
      </w:pPr>
    </w:p>
    <w:p w:rsidR="007A4953" w:rsidRDefault="007A4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661" w:rsidRDefault="007A4953"/>
    <w:sectPr w:rsidR="00786661" w:rsidSect="0003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53"/>
    <w:rsid w:val="00042528"/>
    <w:rsid w:val="002A5495"/>
    <w:rsid w:val="007A4953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4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4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57643E8487C242368AFC03168EBA8293CDC011704E4676324B779CD6B18958B4407FC7188507EA36335A07A94EFDD94092906FB81d37AH" TargetMode="External"/><Relationship Id="rId13" Type="http://schemas.openxmlformats.org/officeDocument/2006/relationships/hyperlink" Target="consultantplus://offline/ref=61957643E8487C242368AFC03168EBA82939DA0B1D08E4676324B779CD6B18958B4407F477825321A67624F87592F5C297153504F9d873H" TargetMode="External"/><Relationship Id="rId18" Type="http://schemas.openxmlformats.org/officeDocument/2006/relationships/hyperlink" Target="consultantplus://offline/ref=61957643E8487C242368AFC03168EBA82939DA0B1D08E4676324B779CD6B18958B4407F975865321A67624F87592F5C297153504F9d873H" TargetMode="External"/><Relationship Id="rId26" Type="http://schemas.openxmlformats.org/officeDocument/2006/relationships/hyperlink" Target="consultantplus://offline/ref=61957643E8487C242368AFC03168EBA82939DA0B1D08E4676324B779CD6B18958B4407F476815321A67624F87592F5C297153504F9d87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957643E8487C242368AFC03168EBA82939DA0B1D08E4676324B779CD6B18958B4407F973805321A67624F87592F5C297153504F9d873H" TargetMode="External"/><Relationship Id="rId7" Type="http://schemas.openxmlformats.org/officeDocument/2006/relationships/hyperlink" Target="consultantplus://offline/ref=61957643E8487C242368AFC03168EBA82939DA0B1D08E4676324B779CD6B18958B4407F475865321A67624F87592F5C297153504F9d873H" TargetMode="External"/><Relationship Id="rId12" Type="http://schemas.openxmlformats.org/officeDocument/2006/relationships/hyperlink" Target="consultantplus://offline/ref=61957643E8487C242368AFC03168EBA8293CDC011D04E4676324B779CD6B18958B4407FC72815B71F53925A433C3E6C191153606E5813A03dC7CH" TargetMode="External"/><Relationship Id="rId17" Type="http://schemas.openxmlformats.org/officeDocument/2006/relationships/hyperlink" Target="consultantplus://offline/ref=61957643E8487C242368AFC03168EBA82939DA0B1D08E4676324B779CD6B18958B4407F976835321A67624F87592F5C297153504F9d873H" TargetMode="External"/><Relationship Id="rId25" Type="http://schemas.openxmlformats.org/officeDocument/2006/relationships/hyperlink" Target="consultantplus://offline/ref=61957643E8487C242368AFC03168EBA82939DA0B1D08E4676324B779CD6B18958B4407FC72815B77F63925A433C3E6C191153606E5813A03dC7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957643E8487C242368AFC03168EBA82939DA0B1D08E4676324B779CD6B189599445FF070854674F52C73F575d976H" TargetMode="External"/><Relationship Id="rId20" Type="http://schemas.openxmlformats.org/officeDocument/2006/relationships/hyperlink" Target="consultantplus://offline/ref=61957643E8487C242368AFC03168EBA8293FD80B1D0CE4676324B779CD6B18958B4407FC72815874F63925A433C3E6C191153606E5813A03dC7CH" TargetMode="External"/><Relationship Id="rId29" Type="http://schemas.openxmlformats.org/officeDocument/2006/relationships/hyperlink" Target="consultantplus://offline/ref=61957643E8487C242368AFC03168EBA82939DA0B1D08E4676324B779CD6B18958B4407F977815321A67624F87592F5C297153504F9d87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957643E8487C242368AFC03168EBA82939DA061508E4676324B779CD6B189599445FF070854674F52C73F575d976H" TargetMode="External"/><Relationship Id="rId11" Type="http://schemas.openxmlformats.org/officeDocument/2006/relationships/hyperlink" Target="consultantplus://offline/ref=61957643E8487C242368AFC03168EBA8293CDC011D04E4676324B779CD6B18958B4407FC72815B71F53925A433C3E6C191153606E5813A03dC7CH" TargetMode="External"/><Relationship Id="rId24" Type="http://schemas.openxmlformats.org/officeDocument/2006/relationships/hyperlink" Target="consultantplus://offline/ref=61957643E8487C242368AFC03168EBA82939DA0B1D08E4676324B779CD6B18958B4407FC72815B74FE3925A433C3E6C191153606E5813A03dC7CH" TargetMode="External"/><Relationship Id="rId5" Type="http://schemas.openxmlformats.org/officeDocument/2006/relationships/hyperlink" Target="consultantplus://offline/ref=61957643E8487C242368AFC03168EBA82939DA0B1D08E4676324B779CD6B18958B4407F475865321A67624F87592F5C297153504F9d873H" TargetMode="External"/><Relationship Id="rId15" Type="http://schemas.openxmlformats.org/officeDocument/2006/relationships/hyperlink" Target="consultantplus://offline/ref=61957643E8487C242368B3D32C68EBA82B33D806100DE4676324B779CD6B189599445FF070854674F52C73F575d976H" TargetMode="External"/><Relationship Id="rId23" Type="http://schemas.openxmlformats.org/officeDocument/2006/relationships/hyperlink" Target="consultantplus://offline/ref=61957643E8487C242368AFC03168EBA82939DA0B1D08E4676324B779CD6B18958B4407F476875321A67624F87592F5C297153504F9d873H" TargetMode="External"/><Relationship Id="rId28" Type="http://schemas.openxmlformats.org/officeDocument/2006/relationships/hyperlink" Target="consultantplus://offline/ref=61957643E8487C242368AFC03168EBA8293CDC011D04E4676324B779CD6B18958B4407FC72815075F43925A433C3E6C191153606E5813A03dC7CH" TargetMode="External"/><Relationship Id="rId10" Type="http://schemas.openxmlformats.org/officeDocument/2006/relationships/hyperlink" Target="consultantplus://offline/ref=61957643E8487C242368AFC03168EBA82939DA0B1D08E4676324B779CD6B18958B4407F477825321A67624F87592F5C297153504F9d873H" TargetMode="External"/><Relationship Id="rId19" Type="http://schemas.openxmlformats.org/officeDocument/2006/relationships/hyperlink" Target="consultantplus://offline/ref=61957643E8487C242368AFC03168EBA82939DA0B1D08E4676324B779CD6B18958B4407FE77875321A67624F87592F5C297153504F9d873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957643E8487C242368AFC03168EBA82939DA0B1D08E4676324B779CD6B189599445FF070854674F52C73F575d976H" TargetMode="External"/><Relationship Id="rId14" Type="http://schemas.openxmlformats.org/officeDocument/2006/relationships/hyperlink" Target="consultantplus://offline/ref=61957643E8487C242368AFC03168EBA8293CDC011704E4676324B779CD6B18958B4407FC7188507EA36335A07A94EFDD94092906FB81d37AH" TargetMode="External"/><Relationship Id="rId22" Type="http://schemas.openxmlformats.org/officeDocument/2006/relationships/hyperlink" Target="consultantplus://offline/ref=61957643E8487C242368AFC03168EBA8283ADC0A150CE4676324B779CD6B18958B4407FC7287597DF43925A433C3E6C191153606E5813A03dC7CH" TargetMode="External"/><Relationship Id="rId27" Type="http://schemas.openxmlformats.org/officeDocument/2006/relationships/hyperlink" Target="consultantplus://offline/ref=61957643E8487C242368AFC03168EBA8293CDC011D04E4676324B779CD6B18958B4407F4778A0C24B3677CF77388EAC18B093706dF7B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Думнова</dc:creator>
  <cp:lastModifiedBy>Антонина Владимировна Думнова</cp:lastModifiedBy>
  <cp:revision>1</cp:revision>
  <dcterms:created xsi:type="dcterms:W3CDTF">2020-12-24T07:59:00Z</dcterms:created>
  <dcterms:modified xsi:type="dcterms:W3CDTF">2020-12-24T08:00:00Z</dcterms:modified>
</cp:coreProperties>
</file>